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gif" ContentType="image/gif"/>
  <Override PartName="/word/media/image1.gif" ContentType="image/gif"/>
  <Override PartName="/word/media/image2.gif" ContentType="image/gif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media/image8.gif" ContentType="image/gif"/>
  <Override PartName="/word/media/image10.gif" ContentType="image/gif"/>
  <Override PartName="/word/media/image11.gif" ContentType="image/gif"/>
  <Override PartName="/word/media/image12.gif" ContentType="image/gif"/>
  <Override PartName="/word/media/image13.gif" ContentType="image/gif"/>
  <Override PartName="/word/media/image14.gif" ContentType="image/gif"/>
  <Override PartName="/word/media/image15.gif" ContentType="image/gif"/>
  <Override PartName="/word/media/image16.gif" ContentType="image/gif"/>
  <Override PartName="/word/media/image17.gif" ContentType="image/gif"/>
  <Override PartName="/word/media/image18.gif" ContentType="image/gif"/>
  <Override PartName="/word/media/image19.gif" ContentType="image/gif"/>
  <Override PartName="/word/media/image20.gif" ContentType="image/gif"/>
  <Override PartName="/word/media/image21.gif" ContentType="image/gif"/>
  <Override PartName="/word/media/image22.gif" ContentType="image/gif"/>
  <Override PartName="/word/media/image23.gif" ContentType="image/gif"/>
  <Override PartName="/word/media/image24.gif" ContentType="image/gif"/>
  <Override PartName="/word/media/image25.gif" ContentType="image/gif"/>
  <Override PartName="/word/media/image26.gif" ContentType="image/gif"/>
  <Override PartName="/word/media/image27.gif" ContentType="image/gif"/>
  <Override PartName="/word/media/image28.gif" ContentType="image/gif"/>
  <Override PartName="/word/media/image29.gif" ContentType="image/gif"/>
  <Override PartName="/word/media/image30.gif" ContentType="image/gif"/>
  <Override PartName="/word/media/image31.gif" ContentType="image/gif"/>
  <Override PartName="/word/media/image32.gif" ContentType="image/gif"/>
  <Override PartName="/word/media/image33.gif" ContentType="image/gif"/>
  <Override PartName="/word/media/image34.gif" ContentType="image/gif"/>
  <Override PartName="/word/media/image35.gif" ContentType="image/gif"/>
  <Override PartName="/word/media/image36.gif" ContentType="image/gif"/>
  <Override PartName="/word/media/image37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20"/>
        <w:gridCol w:w="4110"/>
      </w:tblGrid>
      <w:tr>
        <w:trPr/>
        <w:tc>
          <w:tcPr>
            <w:tcW w:w="59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Утверждаю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 директора МУПЭС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 Ануфриенко А.В.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«_____» ______________ 2017г.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НАДЕЖНОСТИ СИСТЕМЫ ТЕПЛОСНАБЖЕНИЯ.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D3D3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D3D3D"/>
          <w:sz w:val="24"/>
          <w:szCs w:val="24"/>
          <w:lang w:eastAsia="ru-RU"/>
        </w:rPr>
        <w:t>I. Общие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1.1. Оценка надежности теплоснабжения Муниципального унитарного предприятия электрических сетей определяется в соответствии «Методических указаний по анализу показателей, используемых для оценки надежности теплоснабжения», (далее - Методические указания), разработанных в соответствии с пунктом 2 постановления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1.2. Методические указания определяют порядок анализа и оценки систем теплоснабжения  городов и прилегающим к ним поселков в целях создания системы мер, направленных на повышение надежности малонадежных и ненадежных систем теплоснабжения и развитие надежных и высоконадежных систем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Методические указания содержат правила расчета фактических значений показателей надежности систем теплоснабжения городов, поселков и их анализа (далее - показатели).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1.3. При оценке показателей используется классификация систем теплоснабжения городов, поселков в соответствии с пунктом 124 Правил организации теплоснабжения в Российской Федерации, утвержденных постановлением Правительства Российской Федерации от 8 августа 2012 г. N 808: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высоконадежные;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надежные;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малонадежные;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ненадежные.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Методические указания предназначены для использования теплоснабжающими, теплосетевыми организациями, органами исполнительной власти субъектов Российской Федерации, органами местного самоуправления при проведении анализа показателей и оценки надежности систем теплоснабжения городов, поселков.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1.4. Показатели используются: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при заключении договора теплоснабжения и договора оказания услуг по передаче тепловой энергии, теплоносителя;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при формировании инвестиционных программ теплоснабжающих и теплосетевых организаций;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при определении системы мер по обеспечению надежности систем теплоснабжения поселений, городских округов;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1.5. Для оценки надежности системы теплоснабжения используются следующие показатели, установленные в соответствии с пунктом 123 Правил организации теплоснабжения в Российской Федерации, утвержденным постановлением Правительства Российской Федерации от 8 августа 2012 г. N 808: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надежности электроснабжения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надежности водоснабжения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надежности топливоснабжения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уровня резервирования источников тепловой энергии и элементов тепловой сети путем их кольцевания и устройств перемычек;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технического состояния тепловых сетей, характеризуемый наличием ветхих, подлежащих замене трубопроводов;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интенсивности отказов систем теплоснабжения;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относительного аварийного недоотпуска тепла;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готовности теплоснабжающих организаций к проведению аварийно-восстановительных работ в системах теплоснабжения (итоговый показатель);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укомплектованности ремонтным и оперативно-ремонтным персоналом;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оснащенности машинами, специальными механизмами и оборудованием;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наличия основных материально-технических ресурсов;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укомплектованности передвижными автономными источниками электропитания для ведения аварийно-восстановительных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1.6. Для расчета фактических значений показателей используются данные следующих источников: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государственная статистическая отчетность Федеральной службы государственной статистики (Росстат);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схемы теплоснабжения города и поселков;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годовая бухгалтерская (финансовая) отчетность предприятия;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г) акты готовности источников тепловой энергии и тепловых сетей к отопительному периоду.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D3D3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D3D3D"/>
          <w:sz w:val="24"/>
          <w:szCs w:val="24"/>
          <w:lang w:eastAsia="ru-RU"/>
        </w:rPr>
        <w:t>II. Анализ и оценка надежности системы теплоснабжения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Надежность системы теплоснабжения обеспечивается надежной работой всех элементов системы теплоснабжения, а также внешних, по отношению к системе теплоснабжения, систем электро-, водо-, топливоснабжения - источников тепловой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Показатели надежности системы теплоснабжения: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надежности электроснабжения источников тепловой энергии (Кэ)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характеризуется наличием или отсутствием резервного электропитания: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Кэ = 1,0 - при наличии резервного электроснабжения;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Кэ = 0,6 - при отсутствии резервного электроснабжения.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в системе теплоснабжения нескольких источников тепловой энергии общий показатель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2901950" cy="580390"/>
            <wp:effectExtent l="0" t="0" r="0" b="0"/>
            <wp:docPr id="1" name="Рисунок 1" descr="http://www.rosteplo.ru/Npb_files/nad_1576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rosteplo.ru/Npb_files/nad_1576.files/image002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(1)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405765" cy="294005"/>
            <wp:effectExtent l="0" t="0" r="0" b="0"/>
            <wp:docPr id="2" name="Рисунок 2" descr="http://www.rosteplo.ru/Npb_files/nad_1576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ww.rosteplo.ru/Npb_files/nad_1576.files/image004.gif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19050" distR="0">
            <wp:extent cx="437515" cy="294005"/>
            <wp:effectExtent l="0" t="0" r="0" b="0"/>
            <wp:docPr id="3" name="Рисунок 3" descr="http://www.rosteplo.ru/Npb_files/nad_1576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www.rosteplo.ru/Npb_files/nad_1576.files/image00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значения показателей надежности отдельных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Par89"/>
      <w:bookmarkEnd w:id="0"/>
      <w:r>
        <w:rPr/>
        <w:drawing>
          <wp:inline distT="0" distB="0" distL="19050" distR="0">
            <wp:extent cx="1049655" cy="501015"/>
            <wp:effectExtent l="0" t="0" r="0" b="0"/>
            <wp:docPr id="4" name="Рисунок 4" descr="http://www.rosteplo.ru/Npb_files/nad_1576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www.rosteplo.ru/Npb_files/nad_1576.files/image00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(2)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8890">
            <wp:extent cx="238760" cy="286385"/>
            <wp:effectExtent l="0" t="0" r="0" b="0"/>
            <wp:docPr id="5" name="Рисунок 5" descr="http://www.rosteplo.ru/Npb_files/nad_1576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www.rosteplo.ru/Npb_files/nad_1576.files/image01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8130" cy="286385"/>
            <wp:effectExtent l="0" t="0" r="0" b="0"/>
            <wp:docPr id="6" name="Рисунок 6" descr="http://www.rosteplo.ru/Npb_files/nad_1576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www.rosteplo.ru/Npb_files/nad_1576.files/image01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средние фактические тепловые нагрузки за предшествующие 12 месяцев по каждому i-му источнику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191135" cy="286385"/>
            <wp:effectExtent l="0" t="0" r="0" b="0"/>
            <wp:docPr id="7" name="Рисунок 7" descr="http://www.rosteplo.ru/Npb_files/nad_1576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rosteplo.ru/Npb_files/nad_1576.files/image01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количество часов отопительного периода за предшествующие 12 месяцев.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n - количество источников тепловой энергии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Поскольку резервное электропитание на источниках тепловой энергии МУПЭС отсутствует, показатель надежности электроснабжения источников тепловой энергии Кэ принимаем равным 0,6.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надежности водоснабжения источников тепловой энергии (Кв)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характеризуется наличием или отсутствием резервного водоснабжения: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Кв = 1,0 - при наличии резервного водоснабжения;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Кв = 0,6 - при отсутствии резервного водоснабжения.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в системе теплоснабжения нескольких источников тепловой энергии общий показатель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2901950" cy="580390"/>
            <wp:effectExtent l="0" t="0" r="0" b="0"/>
            <wp:docPr id="8" name="Рисунок 8" descr="http://www.rosteplo.ru/Npb_files/nad_1576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www.rosteplo.ru/Npb_files/nad_1576.files/image01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(3)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405765" cy="294005"/>
            <wp:effectExtent l="0" t="0" r="0" b="0"/>
            <wp:docPr id="9" name="Рисунок 9" descr="http://www.rosteplo.ru/Npb_files/nad_1576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www.rosteplo.ru/Npb_files/nad_1576.files/image018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19050" distR="0">
            <wp:extent cx="437515" cy="294005"/>
            <wp:effectExtent l="0" t="0" r="0" b="0"/>
            <wp:docPr id="10" name="Рисунок 10" descr="http://www.rosteplo.ru/Npb_files/nad_1576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www.rosteplo.ru/Npb_files/nad_1576.files/image020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значения показателей надежности отдельных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8890">
            <wp:extent cx="238760" cy="286385"/>
            <wp:effectExtent l="0" t="0" r="0" b="0"/>
            <wp:docPr id="11" name="Рисунок 11" descr="http://www.rosteplo.ru/Npb_files/nad_1576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://www.rosteplo.ru/Npb_files/nad_1576.files/image02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8130" cy="286385"/>
            <wp:effectExtent l="0" t="0" r="0" b="0"/>
            <wp:docPr id="12" name="Рисунок 12" descr="http://www.rosteplo.ru/Npb_files/nad_1576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www.rosteplo.ru/Npb_files/nad_1576.files/image02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средние фактические тепловые нагрузки за предшествующие 12 месяцев по каждому источнику тепловой энергии, определяются по формуле (2).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Резервное водоснабжение на электрокотельных г. Дивногорска предусмотрено, поэтому показатель надежности водоснабжения источников тепловой энергии Кв  в г. Дивногорске принимаем равным 1. Резервное водоснабжение на  остальных источниках тепловой энергии МУПЭС отсутствует, показатель надежности водоснабжения источников тепловой энергии Кв принимаем равным 0,6.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надежности топливоснабжения источников тепловой энергии (Кт)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характеризуется наличием или отсутствием резервного топливоснабжения: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Кт = 1,0 - при наличии резервного топлива;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Кт = 0,5 - при отсутствии резервного топлива.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в системе теплоснабжения нескольких источников тепловой энергии общий показатель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2878455" cy="580390"/>
            <wp:effectExtent l="0" t="0" r="0" b="0"/>
            <wp:docPr id="13" name="Рисунок 13" descr="http://www.rosteplo.ru/Npb_files/nad_1576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www.rosteplo.ru/Npb_files/nad_1576.files/image026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(4)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405765" cy="294005"/>
            <wp:effectExtent l="0" t="0" r="0" b="0"/>
            <wp:docPr id="14" name="Рисунок 14" descr="http://www.rosteplo.ru/Npb_files/nad_1576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www.rosteplo.ru/Npb_files/nad_1576.files/image02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19050" distR="0">
            <wp:extent cx="437515" cy="294005"/>
            <wp:effectExtent l="0" t="0" r="0" b="0"/>
            <wp:docPr id="15" name="Рисунок 15" descr="http://www.rosteplo.ru/Npb_files/nad_1576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www.rosteplo.ru/Npb_files/nad_1576.files/image030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значения показателей готовности отдельных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8890">
            <wp:extent cx="238760" cy="286385"/>
            <wp:effectExtent l="0" t="0" r="0" b="0"/>
            <wp:docPr id="16" name="Рисунок 16" descr="http://www.rosteplo.ru/Npb_files/nad_1576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://www.rosteplo.ru/Npb_files/nad_1576.files/image032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8130" cy="286385"/>
            <wp:effectExtent l="0" t="0" r="0" b="0"/>
            <wp:docPr id="17" name="Рисунок 17" descr="http://www.rosteplo.ru/Npb_files/nad_1576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://www.rosteplo.ru/Npb_files/nad_1576.files/image034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средние фактические тепловые нагрузки за предшествующие 12 месяцев по каждому источнику тепловой энергии, определяются по формуле (2).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Поскольку резервное топливоснабжение на источниках тепловой энергии МУПЭС отсутствует, показатель надежности топливоснабжения источников тепловой энергии Кт принимаем равным 0,5.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(Кб)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характеризуется долей (%) тепловой нагрузки, не обеспеченной мощностью источников тепловой энергии и/или пропускной способностью тепловых сетей: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Кб = 1,0 - полная обеспеченность;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Кб = 0,8 - не обеспечена в размере 10% и менее;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Кб = 0,5 - не обеспечена в размере более 10%.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в системе теплоснабжения нескольких источников тепловой энергии общий показатель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2901950" cy="580390"/>
            <wp:effectExtent l="0" t="0" r="0" b="0"/>
            <wp:docPr id="18" name="Рисунок 18" descr="http://www.rosteplo.ru/Npb_files/nad_1576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www.rosteplo.ru/Npb_files/nad_1576.files/image036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(6)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405765" cy="294005"/>
            <wp:effectExtent l="0" t="0" r="0" b="0"/>
            <wp:docPr id="19" name="Рисунок 19" descr="http://www.rosteplo.ru/Npb_files/nad_1576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://www.rosteplo.ru/Npb_files/nad_1576.files/image038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19050" distR="0">
            <wp:extent cx="437515" cy="294005"/>
            <wp:effectExtent l="0" t="0" r="0" b="0"/>
            <wp:docPr id="20" name="Рисунок 20" descr="http://www.rosteplo.ru/Npb_files/nad_1576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www.rosteplo.ru/Npb_files/nad_1576.files/image040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значения показателей надежности отдельных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8890">
            <wp:extent cx="238760" cy="286385"/>
            <wp:effectExtent l="0" t="0" r="0" b="0"/>
            <wp:docPr id="21" name="Рисунок 21" descr="http://www.rosteplo.ru/Npb_files/nad_1576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ttp://www.rosteplo.ru/Npb_files/nad_1576.files/image04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8130" cy="286385"/>
            <wp:effectExtent l="0" t="0" r="0" b="0"/>
            <wp:docPr id="22" name="Рисунок 22" descr="http://www.rosteplo.ru/Npb_files/nad_1576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://www.rosteplo.ru/Npb_files/nad_1576.files/image044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средние фактические тепловые нагрузки за предшествующие 12 месяцев по каждому источнику тепловой энергии, определяются по формуле (2).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Мощность источников тепловой энергии и пропускная способность тепловых сетей МУПЭС соответствует расчетным тепловым нагрузкам потребителей, соответственно коэффициент Кб принимаем равным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уровня резервирования источников тепловой энергии и элементов тепловой сети путем их кольцевания и устройства перемычек (Кр),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характеризуемый отношением резервируемой расчетной тепловой нагрузки к сумме расчетных тепловых нагрузок (%), подлежащих резервированию согласно схеме теплоснабжения поселений, городских округов, выраженный в %: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Показатель уровня резервирования (Кр):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90% до 100% - Кр = 1,0;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70% до 90% включительно - Кр = 0,7;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50% до 70% включительно - Кр = 0,5;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30% до 50% включительно - Кр = 0,3;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менее 30% включительно - Кр = 0,2.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наличии в системе теплоснабжения нескольких источников тепловой энергии общий показатель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3093085" cy="580390"/>
            <wp:effectExtent l="0" t="0" r="0" b="0"/>
            <wp:docPr id="23" name="Рисунок 23" descr="http://www.rosteplo.ru/Npb_files/nad_1576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://www.rosteplo.ru/Npb_files/nad_1576.files/image04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(7)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405765" cy="325755"/>
            <wp:effectExtent l="0" t="0" r="0" b="0"/>
            <wp:docPr id="24" name="Рисунок 24" descr="http://www.rosteplo.ru/Npb_files/nad_1576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www.rosteplo.ru/Npb_files/nad_1576.files/image048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437515" cy="325755"/>
            <wp:effectExtent l="0" t="0" r="0" b="0"/>
            <wp:docPr id="25" name="Рисунок 25" descr="http://www.rosteplo.ru/Npb_files/nad_1576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://www.rosteplo.ru/Npb_files/nad_1576.files/image050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значения показателей надежности отдельных источников тепловой энергии;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8890">
            <wp:extent cx="238760" cy="286385"/>
            <wp:effectExtent l="0" t="0" r="0" b="0"/>
            <wp:docPr id="26" name="Рисунок 26" descr="http://www.rosteplo.ru/Npb_files/nad_1576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://www.rosteplo.ru/Npb_files/nad_1576.files/image052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78130" cy="286385"/>
            <wp:effectExtent l="0" t="0" r="0" b="0"/>
            <wp:docPr id="27" name="Рисунок 27" descr="http://www.rosteplo.ru/Npb_files/nad_1576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ttp://www.rosteplo.ru/Npb_files/nad_1576.files/image054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средние фактические тепловые нагрузки за предшествующие 12 месяцев по каждому источнику тепловой энергии, определяются по формуле (2).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Показатели уровня резервирования источников тепловой энергии МУПЭС и элементов тепловой сети путем их кольцевания и устройства перемычек (Кр) приведены в приложении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показатель технического состояния тепловых сетей (Кс)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характеризуемый долей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ветхих, подлежащих замене трубопроводов,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1431290" cy="580390"/>
            <wp:effectExtent l="0" t="0" r="0" b="0"/>
            <wp:docPr id="28" name="Рисунок 28" descr="http://www.rosteplo.ru/Npb_files/nad_1576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http://www.rosteplo.ru/Npb_files/nad_1576.files/image056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(8)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drawing>
          <wp:inline distT="0" distB="0" distL="0" distR="8890">
            <wp:extent cx="429260" cy="294005"/>
            <wp:effectExtent l="0" t="0" r="0" b="0"/>
            <wp:docPr id="29" name="Рисунок 29" descr="http://www.rosteplo.ru/Npb_files/nad_1576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www.rosteplo.ru/Npb_files/nad_1576.files/image058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протяженность тепловых сетей, находящихся в эксплуатации (для г.Дивногорска 51173 м.;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с. Овсянка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3898,63 м.; для п.Усть-Мана 738м);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/>
        <w:drawing>
          <wp:inline distT="0" distB="0" distL="0" distR="0">
            <wp:extent cx="381635" cy="294005"/>
            <wp:effectExtent l="0" t="0" r="0" b="0"/>
            <wp:docPr id="30" name="Рисунок 30" descr="http://www.rosteplo.ru/Npb_files/nad_1576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http://www.rosteplo.ru/Npb_files/nad_1576.files/image060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протяженность ветхих тепловых сетей, находящихся в эксплуатации (для г.Дивногорска 33262,45 м.;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с. Овсянка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779,726 м.; для п.Усть-Мана 147,6м);.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Показатели технического состояния: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г. Дивногорск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Кс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1173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33262,45</m:t>
            </m:r>
          </m:num>
          <m:den>
            <m:r>
              <w:rPr>
                <w:rFonts w:ascii="Cambria Math" w:hAnsi="Cambria Math"/>
              </w:rPr>
              <m:t xml:space="preserve">51173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0,35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с. Овсянка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Кс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3898,63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779,726</m:t>
            </m:r>
          </m:num>
          <m:den>
            <m:r>
              <w:rPr>
                <w:rFonts w:ascii="Cambria Math" w:hAnsi="Cambria Math"/>
              </w:rPr>
              <m:t xml:space="preserve">3898,63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п. Усть-Мана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Кс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738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147,6</m:t>
            </m:r>
          </m:num>
          <m:den>
            <m:r>
              <w:rPr>
                <w:rFonts w:ascii="Cambria Math" w:hAnsi="Cambria Math"/>
              </w:rPr>
              <m:t xml:space="preserve">738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  <m:r>
          <w:rPr>
            <w:rFonts w:ascii="Cambria Math" w:hAnsi="Cambria Math"/>
          </w:rPr>
          <m:t xml:space="preserve">;</m:t>
        </m:r>
      </m:oMath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п. Манский ветхих тепловых сетей нет, Кс=1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ж) показатель интенсивности отказов систем теплоснабжения: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) показатель интенсивности отказов тепловых сетей (Котк тс)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Иотк тс = nотк / S [1 / (км * год)], 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nотк - количество отказов за предыдущий год;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S - протяженность тепловой сети (в двухтрубном исполнении) данной системы теплоснабжения [км].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зависимости от интенсивности отказов (Иотк тс) определяется показатель надежности тепловых сетей (Котк тс):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 0,2 включительно - Котк тс = 1,0;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0,2 до 0,6 включительно - Котк тс = 0,8;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0,6 - 1,2 включительно - Котк тс = 0,6;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свыше 1,2 - Котк тс = 0,5.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Вынужденных отключений участков тепловой сети с ограничением отпуска тепловой энергии потребителям не было, поэтому Котк тс =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интенсивности отказов (далее - отказ) теплового источника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 ит):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0" distR="0">
            <wp:extent cx="2019935" cy="501015"/>
            <wp:effectExtent l="0" t="0" r="0" b="0"/>
            <wp:docPr id="31" name="Рисунок 31" descr="http://www.rosteplo.ru/Npb_files/nad_1576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ttp://www.rosteplo.ru/Npb_files/nad_1576.files/image062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(10)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зависимости от интенсивности отказов (Иотк ит) определяется показатель надежности теплового источника (Котк ит):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 0,2 включительно - Котк ит = 1,0;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0,2 до 0,6 включительно - Котк ит = 0,8;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0,6 - 1,2 включительно - Котк ит = 0,6.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Вынужденных отказов источников тепловой энергии с ограничением отпуска тепловой энергии потребителям не было, поэтому Котк ит =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относительного аварийного недоотпуска тепла (Кнед)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 результате внеплановых отключений теплопотребляющих установок потребителей определяется по формуле: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1" w:name="Par169"/>
      <w:bookmarkEnd w:id="1"/>
      <w:r>
        <w:rPr/>
        <w:drawing>
          <wp:inline distT="0" distB="0" distL="19050" distR="0">
            <wp:extent cx="2115185" cy="524510"/>
            <wp:effectExtent l="0" t="0" r="0" b="0"/>
            <wp:docPr id="32" name="Рисунок 32" descr="http://www.rosteplo.ru/Npb_files/nad_1576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http://www.rosteplo.ru/Npb_files/nad_1576.files/image064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(11)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548640" cy="246380"/>
            <wp:effectExtent l="0" t="0" r="0" b="0"/>
            <wp:docPr id="33" name="Рисунок 33" descr="http://www.rosteplo.ru/Npb_files/nad_1576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http://www.rosteplo.ru/Npb_files/nad_1576.files/image066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недоотпуск тепла;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580390" cy="246380"/>
            <wp:effectExtent l="0" t="0" r="0" b="0"/>
            <wp:docPr id="34" name="Рисунок 34" descr="http://www.rosteplo.ru/Npb_files/nad_1576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http://www.rosteplo.ru/Npb_files/nad_1576.files/image068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фактический отпуск тепла системой теплоснабжения.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зависимости от величины относительного недоотпуска тепла (Qнед) определяется показатель надежности (Кнед):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 0,1% включительно - Кнед = 1,0;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0,1% до 0,3% включительно - Кнед = 0,8;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0,3% до 0,5% включительно - Кнед = 0,6;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0,5% до 1,0% включительно - Кнед = 0,5;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свыше 1,0% - Кнед = 0,2.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Внеплановых отключений теплопотребляющих установок потребителей не было, Кнед = 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 xml:space="preserve">показатель укомплектованности ремонтным и оперативно-ремонтным персоналом (Кп)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определяется как отношение фактической численности к численности по действующим нормативам, но не более 1,0.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оснащенности машинами, специальными механизмами и оборудованием (Км)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принимается как среднее отношение фактического наличия к количеству, определенному по нормативам, по основной номенклатуре: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  <w:drawing>
          <wp:inline distT="0" distB="0" distL="19050" distR="0">
            <wp:extent cx="1248410" cy="524510"/>
            <wp:effectExtent l="0" t="0" r="0" b="0"/>
            <wp:docPr id="35" name="Рисунок 35" descr="http://www.rosteplo.ru/Npb_files/nad_1576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http://www.rosteplo.ru/Npb_files/nad_1576.files/image070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(12)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Где,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0" distR="7620">
            <wp:extent cx="278130" cy="294005"/>
            <wp:effectExtent l="0" t="0" r="0" b="0"/>
            <wp:docPr id="36" name="Рисунок 36" descr="http://www.rosteplo.ru/Npb_files/nad_1576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http://www.rosteplo.ru/Npb_files/nad_1576.files/image072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drawing>
          <wp:inline distT="0" distB="0" distL="19050" distR="7620">
            <wp:extent cx="278130" cy="294005"/>
            <wp:effectExtent l="0" t="0" r="0" b="0"/>
            <wp:docPr id="37" name="Рисунок 37" descr="http://www.rosteplo.ru/Npb_files/nad_1576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 descr="http://www.rosteplo.ru/Npb_files/nad_1576.files/image074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- показатели, относящиеся к данному виду машин, механизмов, оборудования;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n - число показателей, учтенных в числителе.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наличия основных материально-технических ресурсов (Ктр)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определяется аналогично по формуле (11) по основной номенклатуре ресурсов (трубы, компенсаторы, арматура, сварочные материалы и т.п.). Принимаемые для определения значения общего Ктр частные показатели не должны быть выше 1,0.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укомплектованности передвижными автономными источниками электропитания (Кист)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для ведения аварийно-восстановительных работ вычисляется как отношение фактического наличия данного оборудования (в единицах мощности - кВт) к потребности.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н)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показатель готовности теплоснабжающих организаций к проведению аварийно-восстановительных работ в системах теплоснабжения (общий показатель)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базируется на показателях: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укомплектованности ремонтным и оперативно-ремонтным персоналом;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оснащенности машинами, специальными механизмами и оборудованием;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наличия основных материально-технических ресурсов;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укомплектованности передвижными автономными источниками электропитания для ведения аварийно-восстановительных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eastAsia="ru-RU"/>
        </w:rPr>
        <w:t>Общий показатель готовности теплоснабжающих организаций к проведению восстановительных работ в системах теплоснабжения к выполнению аварийно-восстановительных работ определяется следующим образом: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Кгот = 0,25 * Кп + 0,35 * Км + 0,3 * Ктр + 0,1 * Кист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651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51"/>
      </w:tblGrid>
      <w:tr>
        <w:trPr>
          <w:trHeight w:val="300" w:hRule="atLeast"/>
        </w:trPr>
        <w:tc>
          <w:tcPr>
            <w:tcW w:w="965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Готовность к проведению аварийно-восстановительных работ МУПЭС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65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Кп=1;Км=1;Ктр=1;Кист=1</w:t>
            </w:r>
          </w:p>
        </w:tc>
      </w:tr>
      <w:tr>
        <w:trPr>
          <w:trHeight w:val="300" w:hRule="atLeast"/>
        </w:trPr>
        <w:tc>
          <w:tcPr>
            <w:tcW w:w="965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Кгот = 0,25Кп+0,35Км+0,3Ктр+0,1Кист=0,25*1+0,35*1+0,3*1+0,1*1=1</w:t>
            </w:r>
          </w:p>
        </w:tc>
      </w:tr>
      <w:tr>
        <w:trPr>
          <w:trHeight w:val="300" w:hRule="atLeast"/>
        </w:trPr>
        <w:tc>
          <w:tcPr>
            <w:tcW w:w="965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Категория готовности - 1 удовлетворительная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Общая оценка готовности дается по следующим категориям:</w:t>
      </w:r>
    </w:p>
    <w:tbl>
      <w:tblPr>
        <w:tblStyle w:val="a3"/>
        <w:tblW w:w="8364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7"/>
        <w:gridCol w:w="3118"/>
        <w:gridCol w:w="3829"/>
      </w:tblGrid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Кгот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(Кп; Км); Ктр</w:t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Категория готовности</w:t>
            </w:r>
          </w:p>
        </w:tc>
      </w:tr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0,85 - 1,0</w:t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0,75 и более</w:t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удовлетворительная готовность</w:t>
            </w:r>
          </w:p>
        </w:tc>
      </w:tr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0,85 - 1,0</w:t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до 0,75</w:t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ограниченная готовность</w:t>
            </w:r>
          </w:p>
        </w:tc>
      </w:tr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0,7 - 0,84</w:t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 и более</w:t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ограниченная готовность</w:t>
            </w:r>
          </w:p>
        </w:tc>
      </w:tr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0,7 - 0,84</w:t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до 0,5</w:t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неготовность</w:t>
            </w:r>
          </w:p>
        </w:tc>
      </w:tr>
      <w:tr>
        <w:trPr/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менее 0,7</w:t>
            </w:r>
          </w:p>
        </w:tc>
        <w:tc>
          <w:tcPr>
            <w:tcW w:w="311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неготовность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Оценка надежности систем теплоснабжения.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а) оценка надежности источников тепловой энергии.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зависимости от полученных показателей надежности Кэ, Кв, Кт и Ки источники тепловой энергии могут быть оценены как: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высоконадежные - при Кэ = Кв = Кт = Ки = 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надежные - при Кэ = Кв = Кт = 1 и Ки = 0,5;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малонадежные - при Ки = 0,5 и при значении меньше 1 одного из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показателей Кэ, Кв, Кт;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ненадежные - при Ки = 0,2 и/или значении меньше 1 у 2-х и более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показателей Кэ, Кв, Кт.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б) оценка надежности тепловых сетей.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зависимости от полученных показателей надежности тепловые сети могут быть оценены как: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высоконадежные - более 0,9;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надежные - 0,75 - 0,89;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малонадежные - 0,5 - 0,74;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ненадежные - менее 0,5.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в) оценка надежности систем теплоснабжения в целом.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Исходя из полученных показателей надежности: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тепловые сети оценены как надежные- 0,75.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источники тепловой энергии оценены как малонадежные - при Ки = 0,5 и при значении меньше 1 одного из  показателей Кэ, Кв, Кт;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итоге проведенного анализа система теплоснабжения Муниципального унитарного предприятия электрических сетей, признана как  -   </w:t>
      </w:r>
      <w:r>
        <w:rPr>
          <w:rFonts w:cs="Times New Roman" w:ascii="Times New Roman" w:hAnsi="Times New Roman"/>
          <w:b/>
          <w:i/>
          <w:sz w:val="24"/>
          <w:szCs w:val="24"/>
        </w:rPr>
        <w:t>надежная</w:t>
      </w:r>
      <w:r>
        <w:rPr>
          <w:rFonts w:cs="Times New Roman" w:ascii="Times New Roman" w:hAnsi="Times New Roman"/>
          <w:sz w:val="24"/>
          <w:szCs w:val="24"/>
        </w:rPr>
        <w:t xml:space="preserve"> с общим показателем надежности – </w:t>
      </w:r>
      <w:r>
        <w:rPr>
          <w:rFonts w:cs="Times New Roman" w:ascii="Times New Roman" w:hAnsi="Times New Roman"/>
          <w:b/>
          <w:sz w:val="24"/>
          <w:szCs w:val="24"/>
        </w:rPr>
        <w:t xml:space="preserve">0,75 </w:t>
      </w:r>
      <w:r>
        <w:rPr>
          <w:rFonts w:cs="Times New Roman" w:ascii="Times New Roman" w:hAnsi="Times New Roman"/>
          <w:sz w:val="24"/>
          <w:szCs w:val="24"/>
        </w:rPr>
        <w:t>(приложение 1).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Готовность Муниципального унитарного предприятия электрических сетей к проведению аварийно-восстановительных работ, признана как  – </w:t>
      </w:r>
      <w:r>
        <w:rPr>
          <w:rFonts w:cs="Times New Roman" w:ascii="Times New Roman" w:hAnsi="Times New Roman"/>
          <w:b/>
          <w:sz w:val="24"/>
          <w:szCs w:val="24"/>
        </w:rPr>
        <w:t>удовлетворительная готовность</w:t>
      </w:r>
      <w:r>
        <w:rPr>
          <w:rFonts w:cs="Times New Roman" w:ascii="Times New Roman" w:hAnsi="Times New Roman"/>
          <w:sz w:val="24"/>
          <w:szCs w:val="24"/>
        </w:rPr>
        <w:t xml:space="preserve">, с  показателем готовности – </w:t>
      </w:r>
      <w:r>
        <w:rPr>
          <w:rFonts w:cs="Times New Roman" w:ascii="Times New Roman" w:hAnsi="Times New Roman"/>
          <w:b/>
          <w:sz w:val="24"/>
          <w:szCs w:val="24"/>
        </w:rPr>
        <w:t xml:space="preserve">1 </w:t>
      </w:r>
      <w:r>
        <w:rPr>
          <w:rFonts w:cs="Times New Roman" w:ascii="Times New Roman" w:hAnsi="Times New Roman"/>
          <w:sz w:val="24"/>
          <w:szCs w:val="24"/>
        </w:rPr>
        <w:t>(приложение 2)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ПТО                                                                                                                К.В. Крамар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1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3"/>
        <w:gridCol w:w="1528"/>
        <w:gridCol w:w="1598"/>
        <w:gridCol w:w="261"/>
        <w:gridCol w:w="1539"/>
        <w:gridCol w:w="456"/>
        <w:gridCol w:w="525"/>
        <w:gridCol w:w="1328"/>
        <w:gridCol w:w="1862"/>
      </w:tblGrid>
      <w:tr>
        <w:trPr>
          <w:trHeight w:val="294" w:hRule="atLeast"/>
        </w:trPr>
        <w:tc>
          <w:tcPr>
            <w:tcW w:w="60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</w:tc>
      </w:tr>
      <w:tr>
        <w:trPr>
          <w:trHeight w:val="23" w:hRule="exact"/>
        </w:trPr>
        <w:tc>
          <w:tcPr>
            <w:tcW w:w="60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9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94" w:hRule="atLeast"/>
        </w:trPr>
        <w:tc>
          <w:tcPr>
            <w:tcW w:w="970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Оценка надежности системы теплоснабжения МУПЭС</w:t>
            </w:r>
          </w:p>
        </w:tc>
      </w:tr>
      <w:tr>
        <w:trPr>
          <w:trHeight w:val="23" w:hRule="exact"/>
        </w:trPr>
        <w:tc>
          <w:tcPr>
            <w:tcW w:w="60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2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6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52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5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г. Дивногорск</w:t>
            </w:r>
          </w:p>
        </w:tc>
        <w:tc>
          <w:tcPr>
            <w:tcW w:w="19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с. Овсянка</w:t>
            </w:r>
          </w:p>
        </w:tc>
        <w:tc>
          <w:tcPr>
            <w:tcW w:w="185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п. Усть-Мана</w:t>
            </w:r>
          </w:p>
        </w:tc>
        <w:tc>
          <w:tcPr>
            <w:tcW w:w="186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п. Манский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Котк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Кнед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Кгот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2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Показатель надежности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>
        <w:trPr>
          <w:trHeight w:val="294" w:hRule="atLeast"/>
        </w:trPr>
        <w:tc>
          <w:tcPr>
            <w:tcW w:w="2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Q*K</w:t>
            </w:r>
          </w:p>
        </w:tc>
        <w:tc>
          <w:tcPr>
            <w:tcW w:w="1859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74,96</w:t>
            </w:r>
          </w:p>
        </w:tc>
        <w:tc>
          <w:tcPr>
            <w:tcW w:w="199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853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6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>
        <w:trPr>
          <w:trHeight w:val="660" w:hRule="atLeast"/>
        </w:trPr>
        <w:tc>
          <w:tcPr>
            <w:tcW w:w="2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Общий показатель надежности</w:t>
            </w:r>
          </w:p>
        </w:tc>
        <w:tc>
          <w:tcPr>
            <w:tcW w:w="7569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>
        <w:trPr>
          <w:trHeight w:val="294" w:hRule="atLeast"/>
        </w:trPr>
        <w:tc>
          <w:tcPr>
            <w:tcW w:w="60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097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Оценка надежности системы теплоснабжения - 0,75 надежная 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566" w:header="0" w:top="851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722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uiPriority w:val="99"/>
    <w:semiHidden/>
    <w:qFormat/>
    <w:rsid w:val="009d1c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d1c41"/>
    <w:rPr>
      <w:vertAlign w:val="superscript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e67b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b14ee9"/>
    <w:rPr>
      <w:color w:val="808080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a5"/>
    <w:uiPriority w:val="99"/>
    <w:semiHidden/>
    <w:unhideWhenUsed/>
    <w:qFormat/>
    <w:rsid w:val="009d1c41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e67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586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gif"/><Relationship Id="rId12" Type="http://schemas.openxmlformats.org/officeDocument/2006/relationships/image" Target="media/image11.gif"/><Relationship Id="rId13" Type="http://schemas.openxmlformats.org/officeDocument/2006/relationships/image" Target="media/image12.gif"/><Relationship Id="rId14" Type="http://schemas.openxmlformats.org/officeDocument/2006/relationships/image" Target="media/image13.gif"/><Relationship Id="rId15" Type="http://schemas.openxmlformats.org/officeDocument/2006/relationships/image" Target="media/image14.gif"/><Relationship Id="rId16" Type="http://schemas.openxmlformats.org/officeDocument/2006/relationships/image" Target="media/image15.gif"/><Relationship Id="rId17" Type="http://schemas.openxmlformats.org/officeDocument/2006/relationships/image" Target="media/image16.gif"/><Relationship Id="rId18" Type="http://schemas.openxmlformats.org/officeDocument/2006/relationships/image" Target="media/image17.gif"/><Relationship Id="rId19" Type="http://schemas.openxmlformats.org/officeDocument/2006/relationships/image" Target="media/image18.gif"/><Relationship Id="rId20" Type="http://schemas.openxmlformats.org/officeDocument/2006/relationships/image" Target="media/image19.gif"/><Relationship Id="rId21" Type="http://schemas.openxmlformats.org/officeDocument/2006/relationships/image" Target="media/image20.gif"/><Relationship Id="rId22" Type="http://schemas.openxmlformats.org/officeDocument/2006/relationships/image" Target="media/image21.gif"/><Relationship Id="rId23" Type="http://schemas.openxmlformats.org/officeDocument/2006/relationships/image" Target="media/image22.gif"/><Relationship Id="rId24" Type="http://schemas.openxmlformats.org/officeDocument/2006/relationships/image" Target="media/image23.gif"/><Relationship Id="rId25" Type="http://schemas.openxmlformats.org/officeDocument/2006/relationships/image" Target="media/image24.gif"/><Relationship Id="rId26" Type="http://schemas.openxmlformats.org/officeDocument/2006/relationships/image" Target="media/image25.gif"/><Relationship Id="rId27" Type="http://schemas.openxmlformats.org/officeDocument/2006/relationships/image" Target="media/image26.gif"/><Relationship Id="rId28" Type="http://schemas.openxmlformats.org/officeDocument/2006/relationships/image" Target="media/image27.gif"/><Relationship Id="rId29" Type="http://schemas.openxmlformats.org/officeDocument/2006/relationships/image" Target="media/image28.gif"/><Relationship Id="rId30" Type="http://schemas.openxmlformats.org/officeDocument/2006/relationships/image" Target="media/image29.gif"/><Relationship Id="rId31" Type="http://schemas.openxmlformats.org/officeDocument/2006/relationships/image" Target="media/image30.gif"/><Relationship Id="rId32" Type="http://schemas.openxmlformats.org/officeDocument/2006/relationships/image" Target="media/image31.gif"/><Relationship Id="rId33" Type="http://schemas.openxmlformats.org/officeDocument/2006/relationships/image" Target="media/image32.gif"/><Relationship Id="rId34" Type="http://schemas.openxmlformats.org/officeDocument/2006/relationships/image" Target="media/image33.gif"/><Relationship Id="rId35" Type="http://schemas.openxmlformats.org/officeDocument/2006/relationships/image" Target="media/image34.gif"/><Relationship Id="rId36" Type="http://schemas.openxmlformats.org/officeDocument/2006/relationships/image" Target="media/image35.gif"/><Relationship Id="rId37" Type="http://schemas.openxmlformats.org/officeDocument/2006/relationships/image" Target="media/image36.gif"/><Relationship Id="rId38" Type="http://schemas.openxmlformats.org/officeDocument/2006/relationships/image" Target="media/image37.gif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461B-5DF7-4812-B138-CA862757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LibreOffice/5.1.4.2$Windows_x86 LibreOffice_project/f99d75f39f1c57ebdd7ffc5f42867c12031db97a</Application>
  <Pages>7</Pages>
  <Words>2031</Words>
  <Characters>13773</Characters>
  <CharactersWithSpaces>15702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2017-04-06T09:30:00Z</dcterms:created>
  <dc:creator>111</dc:creator>
  <dc:description/>
  <dc:language>ru-RU</dc:language>
  <cp:lastModifiedBy/>
  <dcterms:modified xsi:type="dcterms:W3CDTF">2017-04-26T17:09:09Z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